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86</w:t>
      </w:r>
    </w:p>
    <w:p>
      <w:r>
        <w:t>Bundesgericht (BGE), 2014-01-01, FR</w:t>
      </w:r>
    </w:p>
    <w:p>
      <w:r>
        <w:rPr>
          <w:b/>
        </w:rPr>
        <w:t xml:space="preserve">Quelle: </w:t>
      </w:r>
      <w:r>
        <w:t>https://mcp.opencaselaw.ch/entscheid/bge_140 III 86</w:t>
      </w:r>
    </w:p>
    <w:p>
      <w:r>
        <w:t>FR: ATF 140 III 86</w:t>
      </w:r>
    </w:p>
    <w:p>
      <w:r>
        <w:t>IT: DTF 140 III 86</w:t>
      </w:r>
    </w:p>
    <w:p>
      <w:pPr>
        <w:pStyle w:val="Heading2"/>
      </w:pPr>
      <w:r>
        <w:t>Regeste</w:t>
      </w:r>
    </w:p>
    <w:p>
      <w:r>
        <w:t>Regeste Art. 42 Abs. 2 BGG, Art. 18 Abs. 1 und Art. 32 Abs. 1 OR; Pflicht zur Begründung der Rechtsverletzungen; Willenserklärung durch einen Vertreter. Anforderungen an die Begründung, welche die Verfahrensparteien zu erfüllen haben (E. 2). Auslegung des Willens des Vertreters, der dem Vertretenen zugerechnet wird (E. 4).</w:t>
      </w:r>
    </w:p>
    <w:p>
      <w:pPr>
        <w:pStyle w:val="Heading2"/>
      </w:pPr>
      <w:r>
        <w:t>Erwägungen</w:t>
      </w:r>
    </w:p>
    <w:p>
      <w:r>
        <w:rPr>
          <w:b/>
        </w:rPr>
        <w:t>E. 2</w:t>
      </w:r>
    </w:p>
    <w:p>
      <w:r>
        <w:t>Le Tribunal fédéral applique le droit d'office ( art. 106 al. 1 LTF ). Toutefois, compte tenu de l'obligation de motiver qui incombe au recourant en vertu de l' art. 42 al. 2 LTF ( Begründungspflicht, obbligo di motivare ), qui correspond à celle de l' art. 55 al. 1 let . c OJ (RS 3 521; Message du 28 février 2001 concernant la révision totale de l'organisation judiciaire fédérale, FF 2001 4000 ss, 4093 ad art. 39; ci-après: Message), il n'examine pas, comme le ferait un juge de première instance, toutes les questions juridiques qui pourraient se poser, mais uniquement celles qui sont soulevées devant lui (ATF 133 BGE 140 III 86 S. 89 III 545 consid. 2.2; ATF 133 IV 150 consid. 1.2 p. 152; ATF 133 V 515 consid. 1.3 p. 519; ATF 134 II 244 consid. 2.1 p. 245 s.; ATF 134 III 102 consid. 1.1 p. 104 s.; ATF 137 III 241 consid. 5, ATF 137 III 580 consid. 1.3 p. 584, ainsi que de nombreux arrêts non publiés parmi lesquels les arrêts 4A_59/2007 du 17 juillet 2007 consid. 1.2; 5A_55/2007 du 14 août 2007 consid. 2.2; 5A_249/2007 du 12 mars 2008 consid. 4.2; 4A_399/2008 du 12 novembre 2008 consid. 2.1; cf., sous l'ancienne OJ, ATF 131 III 26 consid. 12.3 p. 32; ATF 116 II 745 consid. 3 p. 748/749; ATF 106 II 175 consid. 1 et 2a et les arrêts cités). Il n'est en effet saisi que des questions qui sont soulevées devant lui et ne traite donc pas les questions qui ne sont plus discutées par les parties. Le principe de l'application du droit d'office est en effet limité dans la procédure devant le Tribunal fédéral (FABIENNE HOHL, Procédure civile, vol. II, 2010, n. 2894 p. 513; LEUENBERGER/UFFER-TOBLER, Schweizerisches Zivilprozessrecht, 2010, n. 4.53 p. 123 et 124).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 5A_129/2007 du 28 juin 2008 consid. 1.4; ATF 133 IV 286 consid. 1.4; cf. à propos de l' art. 55 al. 1 let . c OJ, les ATF 121 III 397 consid. 2a p. 400; ATF 116 II 745 consid. 3 p. 748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131 III 334 consid. 4.3 p. 339; pour l'ancienne OJ, cf. ATF 118 III 37 consid. 2a in fine p. 39).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ATF 134 III 102 consid. 1.1 p. 104; ATF 133 III 545 consid. 2.2; pour l'ancienne OJ, cf. ATF 130 III 297 consid. 3.1 p. 298/299; ATF 127 III 248 consid. 2c p. 252/253). BGE 140 III 86 S. 90 De surcroît, s'il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 ATF 133 IV 293 consid. 3.4.1; ATF 134 V 53 consid. 4.3; arrêts 5A_249/2007 du 12 mars 2008 consid. 4.3; 5A_338/2010 du 4 octobre 2010 consid. 3.2), le recourant doit démontrer, conformément au principe d'allégation ( art. 106 al. 2 LTF ),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et, partant, irrecevables (arrêts 5A_249/2007 du 12 mars 2008 consid. 4.3; 4A_214/2008 du 9 juillet 2008 consid. 1.2, non publié in ATF 134 III 570 ; 4A_290/2007 du 10 décembre 2007 consid. 5.1; 5A_338/2010 du 4 octobre 2010 consid. 3.2, in SJ 2011 I p. 185; 5A_600/2010 du 5 janvier 2011 consid. 4.3.3, in SJ 2011 I p. 245; 5A_191/2012 du 12 octobre 2012 consid. 2.2; pour l'ancienne OJ, cf. ATF 115 II 484 consid. 2a et la jurisprudence citée). La faculté de compléter les constatations de fait que l' art. 105 al. 2 LTF confère au Tribunal fédéral ne dispense en effet pas le recourant de son obligation d'allégation ( ATF 133 IV 286 consid. 6.2). Dans sa réponse au présent recours, l'intimée a renoncé à se prévaloir, ne serait-ce qu'à titre éventuel, de l'invalidation du contrat de vente pour cause d'erreur essentielle, argumentation qu'elle avait pourtant développée devant les instances cantonales. Cette question juridique ne peut par conséquent être examinée par le Tribunal de céans. (...)</w:t>
      </w:r>
    </w:p>
    <w:p>
      <w:r>
        <w:rPr>
          <w:b/>
        </w:rPr>
        <w:t>E. 4.1</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 art. 18 al. 1 CO ; ATF 135 III 410 consid. 3.2). Pour ce faire, le juge prendra en compte non seulement la teneur des déclarations de volonté, mais aussi les circonstances antérieures, concomitantes et postérieures à la conclusion du contrat (sur ce dernier point, cf. par BGE 140 III 86 S. 91 ex. ATF 129 III 675 consid. 2.3; arrêt 4A_98/2012 du 3 juillet 2012 consid. 3.2). Déterminer ce qu'un cocontractant savait ou voulait au moment de conclure relève des constatations de fait; la recherche de la volonté réelle des parties est qualifiée d'interprétation subjective ( ATF 131 III 606 consid. 4.1). Lorsqu'une partie au contrat manifeste sa volonté par l'intermédiaire d'un représentant ( art. 32 al. 1 CO ; GAUCH/SCHLUEP ET AL., Schweizerisches Obligationenrecht, Allgemeiner Teil, vol. I, 9 e éd. 2008, n. 299), c'est la volonté exprimée par le représentant qui est déterminante pour la conclusion du contrat ( art. 1 CO ; GAUCH/SCHLUEP ET AL., op. cit., n. 1311 et 1445; PIERRE ENGEL, Traité des obligations en droit suisse, 2 e éd. 1997, p. 394 s.). Dès lors, l'interprétation de celui-ci quant à son contenu ( art. 18 al. 1 CO ) se détermine en fonction de ce que voulait le représentant (CHRISTINE CHAPPUIS, in Commentaire romand, Code des obligations, vol. I, 2 e éd. 2012, n° 21 ad art. 32 CO ). Les déclarations du représentant sont imputées au représenté conformément à l' art. 32 al. 1 CO (arrêt 4C.332/2005 du 27 janvier 2006 consid. 3.3; ATF 73 II 6 consid. 5; GAUCH/SCHLUEP ET AL., op. cit., n. 1314 s.), le représentant engageant également le représenté par ce qu'il savait ou devait savoir (CHAPPUIS, op. cit., n° 21 ad art. 32 CO ; WATTER, in Basler Kommentar, Obligationenrecht, vol. I, 5 e éd. 2011, n° 24 ad art. 32 CO ; GAUCH/SCHLUEP ET AL., op. cit., n. 1444 ss; à propos des vices de la volonté à apprécier en la personne du représentant, cf. arrêt 4A_303/2007 du 29 novembre 2007 consid. 3.4.3).</w:t>
      </w:r>
    </w:p>
    <w:p>
      <w:r>
        <w:rPr>
          <w:b/>
        </w:rPr>
        <w:t>E. 4.2</w:t>
      </w:r>
    </w:p>
    <w:p>
      <w:r>
        <w:t>L'intimée n'était pas présente lors de la conclusion du contrat de vente. Comme l'indique la procuration annexée au dit contrat, l'intéressée a constitué comme mandataire K., administrateur de la régie du même nom, lui donnant tous pouvoirs afin qu'il signe, pour elle et en son nom, l'acte litigieux. Le prénommé est ainsi manifestement intervenu au contrat comme le représentant direct de l'intimée ( art. 32 al. 1 CO ). La Cour de justice a, par conséquent, violé le droit fédéral en se basant sur la volonté réelle de l'intimée, alors que c'est celle de son représentant qui est déterminante pour la conclusion du contrat et qui doit lui être imputée.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